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13085B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967139">
        <w:rPr>
          <w:rFonts w:ascii="Times New Roman" w:hAnsi="Times New Roman"/>
          <w:b/>
          <w:smallCaps/>
          <w:sz w:val="36"/>
          <w:szCs w:val="36"/>
        </w:rPr>
        <w:t>Заречная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460EB" w:rsidRPr="009863CA" w:rsidRDefault="006460EB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13085B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85B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13085B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3085B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13085B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85B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13085B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85B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13085B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3085B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13085B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3085B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13085B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085B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13085B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3085B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13085B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3085B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13085B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85B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13085B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3085B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13085B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6460EB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085B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0EB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67139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377"/>
    <w:rsid w:val="00A97CA1"/>
    <w:rsid w:val="00AA5C0B"/>
    <w:rsid w:val="00AA7CF1"/>
    <w:rsid w:val="00AB2B40"/>
    <w:rsid w:val="00AD46BB"/>
    <w:rsid w:val="00AF107F"/>
    <w:rsid w:val="00B43B22"/>
    <w:rsid w:val="00BD6979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D5538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92271-C63E-4B67-BFF7-85FCE1D14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2018-11-12T04:16:00Z</dcterms:modified>
</cp:coreProperties>
</file>